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0F2E0" w14:textId="12719E6C" w:rsidR="001E36E1" w:rsidRDefault="00376A72" w:rsidP="00376A72">
      <w:pPr>
        <w:jc w:val="right"/>
      </w:pPr>
      <w:bookmarkStart w:id="0" w:name="_GoBack"/>
      <w:bookmarkEnd w:id="0"/>
      <w:r>
        <w:t xml:space="preserve">Porto Velho, </w:t>
      </w:r>
      <w:r w:rsidR="00BC1345">
        <w:t>0</w:t>
      </w:r>
      <w:r w:rsidR="00311894">
        <w:t>5</w:t>
      </w:r>
      <w:r w:rsidR="00BC1345">
        <w:t xml:space="preserve"> </w:t>
      </w:r>
      <w:r>
        <w:t>de outubro de 2018.</w:t>
      </w:r>
    </w:p>
    <w:p w14:paraId="07A230A7" w14:textId="77777777" w:rsidR="00376A72" w:rsidRDefault="00376A72" w:rsidP="00376A72">
      <w:pPr>
        <w:jc w:val="right"/>
      </w:pPr>
    </w:p>
    <w:p w14:paraId="74312FC3" w14:textId="19EE3B47" w:rsidR="00376A72" w:rsidRDefault="00376A72" w:rsidP="0084756D">
      <w:pPr>
        <w:spacing w:after="0" w:line="240" w:lineRule="auto"/>
      </w:pPr>
      <w:r>
        <w:t xml:space="preserve">A Sua Excelência o Senhor </w:t>
      </w:r>
    </w:p>
    <w:p w14:paraId="1E02356B" w14:textId="77777777" w:rsidR="00376A72" w:rsidRDefault="00376A72" w:rsidP="0084756D">
      <w:pPr>
        <w:spacing w:after="0" w:line="240" w:lineRule="auto"/>
      </w:pPr>
      <w:r>
        <w:t>Daniel Pereira</w:t>
      </w:r>
    </w:p>
    <w:p w14:paraId="55C7FACC" w14:textId="77777777" w:rsidR="00376A72" w:rsidRPr="00376A72" w:rsidRDefault="00376A72" w:rsidP="0084756D">
      <w:pPr>
        <w:spacing w:after="0" w:line="240" w:lineRule="auto"/>
      </w:pPr>
      <w:r w:rsidRPr="00376A72">
        <w:t>Governador do Estado de Rondônia</w:t>
      </w:r>
    </w:p>
    <w:p w14:paraId="73ED5566" w14:textId="77777777" w:rsidR="00376A72" w:rsidRDefault="00376A72" w:rsidP="0084756D">
      <w:pPr>
        <w:spacing w:after="0" w:line="240" w:lineRule="auto"/>
      </w:pPr>
      <w:r w:rsidRPr="0084756D">
        <w:t xml:space="preserve">Palácio Rio Madeira - Av. </w:t>
      </w:r>
      <w:proofErr w:type="spellStart"/>
      <w:r w:rsidRPr="0084756D">
        <w:t>Farquar</w:t>
      </w:r>
      <w:proofErr w:type="spellEnd"/>
      <w:r w:rsidRPr="0084756D">
        <w:t>, 2986 - Bairro Pedrinhas</w:t>
      </w:r>
      <w:r w:rsidRPr="0084756D">
        <w:br/>
        <w:t>CEP 76.801-470 - Porto Velho, RO</w:t>
      </w:r>
    </w:p>
    <w:p w14:paraId="72F21C78" w14:textId="77777777" w:rsidR="0084756D" w:rsidRDefault="0084756D" w:rsidP="0084756D">
      <w:pPr>
        <w:spacing w:after="0" w:line="240" w:lineRule="auto"/>
      </w:pPr>
    </w:p>
    <w:p w14:paraId="4D3B0F85" w14:textId="77777777" w:rsidR="0084756D" w:rsidRDefault="0084756D" w:rsidP="0084756D">
      <w:pPr>
        <w:spacing w:after="0" w:line="240" w:lineRule="auto"/>
      </w:pPr>
    </w:p>
    <w:p w14:paraId="6DCF38C1" w14:textId="77777777" w:rsidR="0084756D" w:rsidRDefault="0084756D" w:rsidP="0084756D">
      <w:pPr>
        <w:spacing w:after="0" w:line="240" w:lineRule="auto"/>
      </w:pPr>
      <w:r>
        <w:tab/>
        <w:t>Senhor Governador,</w:t>
      </w:r>
    </w:p>
    <w:p w14:paraId="41C14357" w14:textId="77777777" w:rsidR="0084756D" w:rsidRDefault="0084756D" w:rsidP="0084756D">
      <w:pPr>
        <w:spacing w:after="0" w:line="240" w:lineRule="auto"/>
      </w:pPr>
    </w:p>
    <w:p w14:paraId="2E414AEE" w14:textId="553781D4" w:rsidR="00925307" w:rsidRDefault="0084756D" w:rsidP="004607BA">
      <w:pPr>
        <w:spacing w:after="0" w:line="320" w:lineRule="exact"/>
        <w:jc w:val="both"/>
      </w:pPr>
      <w:r>
        <w:tab/>
        <w:t>Com extrema preocupação, recebemos a notícia da aprovação do Projeto de Lei Complementar</w:t>
      </w:r>
      <w:r w:rsidR="00FD3831">
        <w:t xml:space="preserve"> </w:t>
      </w:r>
      <w:r w:rsidR="00BC1345">
        <w:t>(</w:t>
      </w:r>
      <w:r w:rsidR="00FD3831">
        <w:t>PLC</w:t>
      </w:r>
      <w:r w:rsidR="00BC1345">
        <w:t>)</w:t>
      </w:r>
      <w:r w:rsidR="00FD3831">
        <w:t xml:space="preserve"> nº 242/2018 pela Assembleia Legislativa </w:t>
      </w:r>
      <w:r w:rsidR="001F3B1E">
        <w:t xml:space="preserve">de Rondônia em </w:t>
      </w:r>
      <w:r w:rsidR="00FD3831">
        <w:t xml:space="preserve">25 de setembro. </w:t>
      </w:r>
      <w:r w:rsidR="00765DB0">
        <w:t xml:space="preserve">Essa proposição visa à extinção de nove </w:t>
      </w:r>
      <w:r w:rsidR="002910C2">
        <w:t xml:space="preserve">unidades </w:t>
      </w:r>
      <w:r w:rsidR="00765DB0">
        <w:t xml:space="preserve">de </w:t>
      </w:r>
      <w:r w:rsidR="002910C2">
        <w:t xml:space="preserve">conservação </w:t>
      </w:r>
      <w:r w:rsidR="00535E38">
        <w:t>(</w:t>
      </w:r>
      <w:proofErr w:type="spellStart"/>
      <w:r w:rsidR="00535E38">
        <w:t>UCs</w:t>
      </w:r>
      <w:proofErr w:type="spellEnd"/>
      <w:r w:rsidR="00535E38">
        <w:t xml:space="preserve">) </w:t>
      </w:r>
      <w:r w:rsidR="00EE4166">
        <w:t>recém criadas</w:t>
      </w:r>
      <w:r w:rsidR="000316D3">
        <w:t xml:space="preserve"> pelo Poder Executivo estadual</w:t>
      </w:r>
      <w:r w:rsidR="000316D3">
        <w:rPr>
          <w:rStyle w:val="FootnoteReference"/>
        </w:rPr>
        <w:footnoteReference w:id="1"/>
      </w:r>
      <w:r w:rsidR="00535E38">
        <w:t xml:space="preserve">, bem como de duas </w:t>
      </w:r>
      <w:proofErr w:type="spellStart"/>
      <w:r w:rsidR="00535E38">
        <w:t>U</w:t>
      </w:r>
      <w:r w:rsidR="000316D3">
        <w:t>Cs</w:t>
      </w:r>
      <w:proofErr w:type="spellEnd"/>
      <w:r w:rsidR="000316D3">
        <w:t xml:space="preserve"> criadas em 2010, por meio da</w:t>
      </w:r>
      <w:r w:rsidR="00535E38">
        <w:t xml:space="preserve"> Lei</w:t>
      </w:r>
      <w:r w:rsidR="000316D3">
        <w:t xml:space="preserve"> Complementar estadual nº 581, </w:t>
      </w:r>
      <w:r w:rsidR="00DA15B6">
        <w:t xml:space="preserve">e </w:t>
      </w:r>
      <w:r w:rsidR="000316D3">
        <w:t>regulamentadas este ano</w:t>
      </w:r>
      <w:r w:rsidR="000316D3">
        <w:rPr>
          <w:rStyle w:val="FootnoteReference"/>
        </w:rPr>
        <w:footnoteReference w:id="2"/>
      </w:r>
      <w:r w:rsidR="00EE4166">
        <w:t>,</w:t>
      </w:r>
      <w:r w:rsidR="000316D3">
        <w:t xml:space="preserve"> por determinação da 1ª Vara da Fazenda Pública da Comarca de Porto Velho</w:t>
      </w:r>
      <w:r w:rsidR="000316D3">
        <w:rPr>
          <w:rStyle w:val="FootnoteReference"/>
        </w:rPr>
        <w:footnoteReference w:id="3"/>
      </w:r>
      <w:r w:rsidR="00EE4166">
        <w:t>, em ação judicial promovida pelo Ministério Público</w:t>
      </w:r>
      <w:r w:rsidR="000316D3">
        <w:t>.</w:t>
      </w:r>
    </w:p>
    <w:p w14:paraId="19E45CA3" w14:textId="1D80145A" w:rsidR="00AF3AB0" w:rsidRDefault="00AF3AB0" w:rsidP="00043BB2">
      <w:pPr>
        <w:spacing w:after="0" w:line="320" w:lineRule="exact"/>
        <w:ind w:firstLine="708"/>
        <w:jc w:val="both"/>
      </w:pPr>
      <w:r w:rsidRPr="00AF3AB0">
        <w:t xml:space="preserve">É fundamental mantermos essas unidades de conservação.  Se a floresta vai embora, vão com ela todos os serviços ambientais de que a humanidade depende: água, equilíbrio climático, alimentos, cultura, medicamentos, abrigo. </w:t>
      </w:r>
      <w:r w:rsidR="007056BB">
        <w:t>O desmatamento excessivo em Rondônia tem reduzido a quantidade de chuvas nas áreas desmatadas, de acordo com estudo recente</w:t>
      </w:r>
      <w:r w:rsidR="007056BB">
        <w:rPr>
          <w:rStyle w:val="FootnoteReference"/>
        </w:rPr>
        <w:footnoteReference w:id="4"/>
      </w:r>
      <w:r w:rsidR="007056BB">
        <w:t xml:space="preserve">. Um terço da floresta original foi desmatada. </w:t>
      </w:r>
      <w:r w:rsidRPr="00AF3AB0">
        <w:t>O que estamos colocando em risco é o nosso futuro, num momento de eleições em que estamos decidindo o modelo de desenvolvimento que queremos ter.</w:t>
      </w:r>
    </w:p>
    <w:p w14:paraId="68C29A53" w14:textId="20080092" w:rsidR="00925307" w:rsidRDefault="00AF3AB0" w:rsidP="00043BB2">
      <w:pPr>
        <w:spacing w:after="0" w:line="320" w:lineRule="exact"/>
        <w:ind w:firstLine="708"/>
        <w:jc w:val="both"/>
      </w:pPr>
      <w:r>
        <w:t xml:space="preserve">Queremos expressar desde já nosso apoio ao governo do Estado para a única reação adequada </w:t>
      </w:r>
      <w:r w:rsidR="00925307">
        <w:t>frente a ess</w:t>
      </w:r>
      <w:r w:rsidR="001F3B1E">
        <w:t xml:space="preserve">a ameaça </w:t>
      </w:r>
      <w:r w:rsidR="00925307">
        <w:t>a toda a sociedade</w:t>
      </w:r>
      <w:r>
        <w:t xml:space="preserve">: o </w:t>
      </w:r>
      <w:r w:rsidR="00925307">
        <w:t>veto total do projeto de lei</w:t>
      </w:r>
      <w:r>
        <w:t xml:space="preserve">. Para tanto, não faltam razões.  </w:t>
      </w:r>
      <w:r w:rsidR="00925307">
        <w:t xml:space="preserve"> </w:t>
      </w:r>
      <w:r w:rsidR="004607BA">
        <w:t xml:space="preserve"> </w:t>
      </w:r>
    </w:p>
    <w:p w14:paraId="0CA75C70" w14:textId="76EF6AB7" w:rsidR="00AF3AB0" w:rsidRDefault="00AF3AB0" w:rsidP="00043BB2">
      <w:pPr>
        <w:spacing w:after="0" w:line="320" w:lineRule="exact"/>
        <w:ind w:firstLine="708"/>
        <w:jc w:val="both"/>
      </w:pPr>
      <w:r>
        <w:t>Primeir</w:t>
      </w:r>
      <w:r w:rsidR="00DA15B6">
        <w:t>o</w:t>
      </w:r>
      <w:r>
        <w:t xml:space="preserve">, é preciso registrar que a decisão da Assembleia não foi discutida com a sociedade. Não houve nenhuma audiência pública, nenhuma consulta. A comunidade científica não foi chamada a se manifestar; nenhum estudo técnico foi divulgado. Mesmo o governo do Estado foi </w:t>
      </w:r>
      <w:r w:rsidR="006F796E">
        <w:t xml:space="preserve">surpreendido </w:t>
      </w:r>
      <w:r>
        <w:t>numa tramitação relâmpago que, em questão de horas, varreu do mapa d</w:t>
      </w:r>
      <w:r w:rsidR="00C5140E">
        <w:t xml:space="preserve">a Amazônia </w:t>
      </w:r>
      <w:r>
        <w:t>mais de meio milhão de hectares de áreas protegidas.</w:t>
      </w:r>
    </w:p>
    <w:p w14:paraId="42CBC1EA" w14:textId="4C44552B" w:rsidR="002F4499" w:rsidRDefault="00AC7790" w:rsidP="00DA15B6">
      <w:pPr>
        <w:spacing w:after="0" w:line="320" w:lineRule="exact"/>
        <w:jc w:val="both"/>
      </w:pPr>
      <w:r>
        <w:tab/>
      </w:r>
      <w:r w:rsidR="00925307">
        <w:t xml:space="preserve">A notícia da extinção em série vem em um momento particularmente grave, em que Rondônia exerce protagonismo </w:t>
      </w:r>
      <w:r w:rsidR="000F5916">
        <w:t xml:space="preserve">no desmatamento da </w:t>
      </w:r>
      <w:r w:rsidR="004532B8">
        <w:t>Amazônia</w:t>
      </w:r>
      <w:r w:rsidR="000F5916">
        <w:t>. O Estado foi um dos que mais contribu</w:t>
      </w:r>
      <w:r w:rsidR="00925307">
        <w:t>íram</w:t>
      </w:r>
      <w:r w:rsidR="000F5916">
        <w:t xml:space="preserve"> </w:t>
      </w:r>
      <w:r w:rsidR="001F3B1E">
        <w:t xml:space="preserve">para </w:t>
      </w:r>
      <w:r w:rsidR="000F5916">
        <w:t xml:space="preserve">a perda de habitats naturais no bioma, respondendo por 16,6% da área </w:t>
      </w:r>
      <w:r w:rsidR="000F5916">
        <w:lastRenderedPageBreak/>
        <w:t>desmatada</w:t>
      </w:r>
      <w:r w:rsidR="00BC1345">
        <w:t xml:space="preserve"> </w:t>
      </w:r>
      <w:r w:rsidR="000F5916">
        <w:t xml:space="preserve">nos últimos </w:t>
      </w:r>
      <w:r w:rsidR="00925307">
        <w:t xml:space="preserve">cinco </w:t>
      </w:r>
      <w:r w:rsidR="000F5916">
        <w:t>anos</w:t>
      </w:r>
      <w:r w:rsidR="004532B8">
        <w:rPr>
          <w:rStyle w:val="FootnoteReference"/>
        </w:rPr>
        <w:footnoteReference w:id="5"/>
      </w:r>
      <w:r w:rsidR="000F5916">
        <w:t>.</w:t>
      </w:r>
      <w:r w:rsidR="004532B8">
        <w:t xml:space="preserve"> </w:t>
      </w:r>
      <w:r w:rsidR="00420BAB">
        <w:t>E</w:t>
      </w:r>
      <w:r w:rsidR="004532B8">
        <w:t>m termos absolutos, foram 5.162 km² de florestas derrubadas – área equivalente à do Distrito Federal – com uma</w:t>
      </w:r>
      <w:r w:rsidR="00E37915">
        <w:t xml:space="preserve"> sólida</w:t>
      </w:r>
      <w:r w:rsidR="004532B8">
        <w:t xml:space="preserve"> tendência de crescimento, desde </w:t>
      </w:r>
      <w:r w:rsidR="00774FE6">
        <w:t>o início da década</w:t>
      </w:r>
      <w:r w:rsidR="004532B8">
        <w:rPr>
          <w:rStyle w:val="FootnoteReference"/>
        </w:rPr>
        <w:footnoteReference w:id="6"/>
      </w:r>
      <w:r w:rsidR="004532B8">
        <w:t xml:space="preserve">. </w:t>
      </w:r>
      <w:r w:rsidR="00420BAB">
        <w:t>E</w:t>
      </w:r>
      <w:r w:rsidR="00774FE6">
        <w:t>ntre 2010 e 2017, houve aumento de cerca de 280% na taxa de desmatamento</w:t>
      </w:r>
      <w:r w:rsidR="00043BB2">
        <w:t xml:space="preserve"> </w:t>
      </w:r>
      <w:r w:rsidR="009B6B3F">
        <w:t>do E</w:t>
      </w:r>
      <w:r w:rsidR="00774FE6">
        <w:t>stad</w:t>
      </w:r>
      <w:r w:rsidR="009B6B3F">
        <w:t>o</w:t>
      </w:r>
      <w:r w:rsidR="004532B8">
        <w:rPr>
          <w:rStyle w:val="FootnoteReference"/>
        </w:rPr>
        <w:footnoteReference w:id="7"/>
      </w:r>
      <w:r w:rsidR="004532B8">
        <w:t xml:space="preserve">. </w:t>
      </w:r>
    </w:p>
    <w:p w14:paraId="1DDB1184" w14:textId="7206C23C" w:rsidR="00420BAB" w:rsidRDefault="00420BAB" w:rsidP="002F4499">
      <w:pPr>
        <w:spacing w:after="0" w:line="320" w:lineRule="exact"/>
        <w:ind w:firstLine="708"/>
        <w:jc w:val="both"/>
      </w:pPr>
      <w:r>
        <w:t>A</w:t>
      </w:r>
      <w:r w:rsidR="00E37915">
        <w:t xml:space="preserve">s 11 </w:t>
      </w:r>
      <w:r w:rsidR="00117653">
        <w:t xml:space="preserve">unidades </w:t>
      </w:r>
      <w:r w:rsidR="00E37915">
        <w:t xml:space="preserve">de </w:t>
      </w:r>
      <w:r w:rsidR="00117653">
        <w:t xml:space="preserve">conservação </w:t>
      </w:r>
      <w:r w:rsidR="00E37915">
        <w:t>que a Assembleia Legislativa tenta extinguir foram criadas</w:t>
      </w:r>
      <w:r w:rsidR="00C022F6">
        <w:t xml:space="preserve"> e regulamentadas</w:t>
      </w:r>
      <w:r w:rsidR="00E253B7">
        <w:t xml:space="preserve"> pelo Governo </w:t>
      </w:r>
      <w:r>
        <w:t xml:space="preserve">do Estado </w:t>
      </w:r>
      <w:r w:rsidR="00E37915">
        <w:t xml:space="preserve">justamente para contribuir </w:t>
      </w:r>
      <w:r w:rsidR="009B6B3F">
        <w:t>para</w:t>
      </w:r>
      <w:r w:rsidR="00E37915">
        <w:t xml:space="preserve"> a reversão desse cenário. </w:t>
      </w:r>
    </w:p>
    <w:p w14:paraId="783BB0D1" w14:textId="4BC27649" w:rsidR="00DE7E74" w:rsidRDefault="00420BAB" w:rsidP="002F4499">
      <w:pPr>
        <w:spacing w:after="0" w:line="320" w:lineRule="exact"/>
        <w:ind w:firstLine="708"/>
        <w:jc w:val="both"/>
      </w:pPr>
      <w:r>
        <w:t>E</w:t>
      </w:r>
      <w:r w:rsidR="00E37915">
        <w:t>ss</w:t>
      </w:r>
      <w:r w:rsidR="00BE7E6A">
        <w:t>a</w:t>
      </w:r>
      <w:r w:rsidR="00E37915">
        <w:t>s</w:t>
      </w:r>
      <w:r w:rsidR="00BE7E6A">
        <w:t xml:space="preserve"> </w:t>
      </w:r>
      <w:proofErr w:type="spellStart"/>
      <w:r w:rsidR="00BE7E6A">
        <w:t>UCs</w:t>
      </w:r>
      <w:proofErr w:type="spellEnd"/>
      <w:r w:rsidR="00BE7E6A">
        <w:t xml:space="preserve"> buscam proteger áreas prioritárias para a conservação da biodiversidade</w:t>
      </w:r>
      <w:r w:rsidR="007056BB">
        <w:t>, t</w:t>
      </w:r>
      <w:r>
        <w:t xml:space="preserve">erritórios de extrema importância biológica, </w:t>
      </w:r>
      <w:r w:rsidR="000F2B96">
        <w:t xml:space="preserve">abrigando ecossistemas raros e </w:t>
      </w:r>
      <w:r w:rsidR="00BE7E6A">
        <w:t>espécies</w:t>
      </w:r>
      <w:r w:rsidR="000F2B96">
        <w:t xml:space="preserve"> </w:t>
      </w:r>
      <w:r w:rsidR="001F3B1E">
        <w:t xml:space="preserve">ameaçadas </w:t>
      </w:r>
      <w:r>
        <w:t xml:space="preserve">de extinção. Além disso, servem de </w:t>
      </w:r>
      <w:r w:rsidR="00E21B4C">
        <w:t>refúgio e berçário para répteis, anfíbios e peixes</w:t>
      </w:r>
      <w:r>
        <w:t xml:space="preserve"> e</w:t>
      </w:r>
      <w:r w:rsidR="00043BB2">
        <w:t xml:space="preserve"> </w:t>
      </w:r>
      <w:r w:rsidR="00E21B4C">
        <w:t>conecta</w:t>
      </w:r>
      <w:r w:rsidR="007056BB">
        <w:t>m</w:t>
      </w:r>
      <w:r w:rsidR="00E21B4C">
        <w:t xml:space="preserve"> relevantes zonas de conservação</w:t>
      </w:r>
      <w:r w:rsidR="00D72111">
        <w:t xml:space="preserve"> – conforme informações </w:t>
      </w:r>
      <w:r w:rsidR="00E446B1">
        <w:t>d</w:t>
      </w:r>
      <w:r w:rsidR="00E253B7">
        <w:t>a</w:t>
      </w:r>
      <w:r w:rsidR="00E446B1">
        <w:t xml:space="preserve"> própri</w:t>
      </w:r>
      <w:r w:rsidR="00E253B7">
        <w:t>a</w:t>
      </w:r>
      <w:r w:rsidR="00E446B1">
        <w:t xml:space="preserve"> </w:t>
      </w:r>
      <w:r w:rsidR="00E253B7">
        <w:t>Secretaria E</w:t>
      </w:r>
      <w:r w:rsidR="00E446B1">
        <w:t>stadual</w:t>
      </w:r>
      <w:r w:rsidR="00E253B7">
        <w:t xml:space="preserve"> de </w:t>
      </w:r>
      <w:r>
        <w:t xml:space="preserve">Desenvolvimento Ambiental. </w:t>
      </w:r>
    </w:p>
    <w:p w14:paraId="24FB4726" w14:textId="41C842DA" w:rsidR="007C44E6" w:rsidRDefault="00DE7E74" w:rsidP="002F4499">
      <w:pPr>
        <w:spacing w:after="0" w:line="320" w:lineRule="exact"/>
        <w:ind w:firstLine="708"/>
        <w:jc w:val="both"/>
      </w:pPr>
      <w:r>
        <w:t xml:space="preserve">Parte delas ainda melhora as condições de vida de populações locais – como as </w:t>
      </w:r>
      <w:r w:rsidR="00117653">
        <w:t xml:space="preserve">reservas </w:t>
      </w:r>
      <w:r>
        <w:t xml:space="preserve">de </w:t>
      </w:r>
      <w:r w:rsidR="00117653">
        <w:t xml:space="preserve">desenvolvimento sustentável (RDS) </w:t>
      </w:r>
      <w:r>
        <w:t xml:space="preserve">– conciliando o fortalecimento de suas atividades produtivas com a preservação da vida silvestre, ou de possibilitar a exploração </w:t>
      </w:r>
      <w:r w:rsidR="00123F16">
        <w:t xml:space="preserve">sustentável </w:t>
      </w:r>
      <w:r>
        <w:t xml:space="preserve">dos recursos florestais – como as </w:t>
      </w:r>
      <w:r w:rsidR="00117653">
        <w:t>florestas estaduais</w:t>
      </w:r>
      <w:r>
        <w:t>.</w:t>
      </w:r>
    </w:p>
    <w:p w14:paraId="62829066" w14:textId="1E736A13" w:rsidR="008251F3" w:rsidRDefault="008251F3" w:rsidP="002F4499">
      <w:pPr>
        <w:spacing w:after="0" w:line="320" w:lineRule="exact"/>
        <w:ind w:firstLine="708"/>
        <w:jc w:val="both"/>
      </w:pPr>
      <w:r>
        <w:t>Lembr</w:t>
      </w:r>
      <w:r w:rsidR="00DA15B6">
        <w:t>amos</w:t>
      </w:r>
      <w:r>
        <w:t xml:space="preserve"> que a criação de quatro das unidades de conservação em questão tiveram o apoio do Programa de Áreas Protegidas da Amazônia, o Arpa, que aportou R$ </w:t>
      </w:r>
      <w:r w:rsidRPr="00E51023">
        <w:t>657</w:t>
      </w:r>
      <w:r>
        <w:t xml:space="preserve"> mil para a realização de estudos técnicos, consulta a comunidades e outras ações que mostraram a importância das áreas para a conservação. A extinção dessas unidades, além de representar um injustificável desperdício, dificultará, sem dúvida, o acesso do Estado a novos recursos do programa. </w:t>
      </w:r>
    </w:p>
    <w:p w14:paraId="56E55525" w14:textId="7A79961C" w:rsidR="00EC4A45" w:rsidRDefault="007C44E6" w:rsidP="002F4499">
      <w:pPr>
        <w:spacing w:after="0" w:line="320" w:lineRule="exact"/>
        <w:ind w:firstLine="708"/>
        <w:jc w:val="both"/>
      </w:pPr>
      <w:r>
        <w:t>Destaca</w:t>
      </w:r>
      <w:r w:rsidR="00DA15B6">
        <w:t>mos</w:t>
      </w:r>
      <w:r>
        <w:t xml:space="preserve">, ainda, que essas 11 </w:t>
      </w:r>
      <w:r w:rsidR="00117653">
        <w:t xml:space="preserve">unidades </w:t>
      </w:r>
      <w:r>
        <w:t xml:space="preserve">de </w:t>
      </w:r>
      <w:r w:rsidR="00117653">
        <w:t xml:space="preserve">conservação </w:t>
      </w:r>
      <w:r>
        <w:t>foram criadas de acordo com</w:t>
      </w:r>
      <w:r w:rsidR="00117653">
        <w:t xml:space="preserve"> o</w:t>
      </w:r>
      <w:r>
        <w:t xml:space="preserve"> Zoneamento Socioeconômico-Ecológico de Rondônia (instituído pela Lei Complementar Estadual nº 233/2000), dentro dos limites da </w:t>
      </w:r>
      <w:r w:rsidRPr="007C44E6">
        <w:t xml:space="preserve">Zona 2, </w:t>
      </w:r>
      <w:r>
        <w:t xml:space="preserve">caracterizada como área destinada à conservação ambiental, como bem destacou o </w:t>
      </w:r>
      <w:r w:rsidR="001F3B1E">
        <w:t xml:space="preserve">desembargador </w:t>
      </w:r>
      <w:r>
        <w:t xml:space="preserve">Miguel </w:t>
      </w:r>
      <w:proofErr w:type="spellStart"/>
      <w:r>
        <w:t>Monico</w:t>
      </w:r>
      <w:proofErr w:type="spellEnd"/>
      <w:r>
        <w:t xml:space="preserve"> Neto, no julgamento da Medida Cautelar da Ação Direta de Inconstitucionalidade nº </w:t>
      </w:r>
      <w:r w:rsidRPr="007C44E6">
        <w:t>0800913-33.2018.8.22.0000</w:t>
      </w:r>
      <w:r>
        <w:t>.</w:t>
      </w:r>
    </w:p>
    <w:p w14:paraId="21781F9D" w14:textId="6421823C" w:rsidR="0025513C" w:rsidRDefault="00666370" w:rsidP="00B64423">
      <w:pPr>
        <w:spacing w:after="0" w:line="320" w:lineRule="exact"/>
        <w:ind w:firstLine="708"/>
        <w:jc w:val="both"/>
      </w:pPr>
      <w:r>
        <w:t>A</w:t>
      </w:r>
      <w:r w:rsidR="00B64423">
        <w:t xml:space="preserve"> Constituição Federal (</w:t>
      </w:r>
      <w:proofErr w:type="spellStart"/>
      <w:r w:rsidR="00B64423">
        <w:t>art</w:t>
      </w:r>
      <w:r w:rsidR="00F04FA2">
        <w:t>s</w:t>
      </w:r>
      <w:proofErr w:type="spellEnd"/>
      <w:r w:rsidR="00B64423">
        <w:t>.</w:t>
      </w:r>
      <w:r w:rsidR="00F04FA2">
        <w:t xml:space="preserve"> 23 e</w:t>
      </w:r>
      <w:r w:rsidR="00B64423">
        <w:t xml:space="preserve"> 225) </w:t>
      </w:r>
      <w:r w:rsidR="002C21BA">
        <w:t xml:space="preserve">e </w:t>
      </w:r>
      <w:r w:rsidR="00B64423">
        <w:t>a Constituição do Estado de Rondônia (</w:t>
      </w:r>
      <w:proofErr w:type="spellStart"/>
      <w:r w:rsidR="00B64423">
        <w:t>arts</w:t>
      </w:r>
      <w:proofErr w:type="spellEnd"/>
      <w:r w:rsidR="00B64423">
        <w:t xml:space="preserve">. </w:t>
      </w:r>
      <w:r w:rsidR="00424807">
        <w:t xml:space="preserve">8, XV, </w:t>
      </w:r>
      <w:r w:rsidR="00D62048">
        <w:t>218 e 219</w:t>
      </w:r>
      <w:r w:rsidR="00B64423">
        <w:t>)</w:t>
      </w:r>
      <w:r w:rsidR="005B5B18">
        <w:t xml:space="preserve"> confer</w:t>
      </w:r>
      <w:r>
        <w:t>e</w:t>
      </w:r>
      <w:r w:rsidR="005B5B18">
        <w:t xml:space="preserve">m às gerações atuais e futuras o direito a um meio ambiente ecologicamente equilibrado, sendo </w:t>
      </w:r>
      <w:r w:rsidR="005B5B18">
        <w:rPr>
          <w:b/>
        </w:rPr>
        <w:t>dever</w:t>
      </w:r>
      <w:r w:rsidR="005B5B18">
        <w:t xml:space="preserve"> do Poder Público</w:t>
      </w:r>
      <w:r w:rsidR="003D6C75">
        <w:t xml:space="preserve"> </w:t>
      </w:r>
      <w:r w:rsidR="0016290B">
        <w:t>adotar medidas concretas para defendê-lo e preservá-lo</w:t>
      </w:r>
      <w:r w:rsidR="0025513C">
        <w:t xml:space="preserve">, tais como a </w:t>
      </w:r>
      <w:r w:rsidR="00286D8C">
        <w:t>defini</w:t>
      </w:r>
      <w:r w:rsidR="0025513C">
        <w:t>ção de espaços territoriais especialmente protegidos (art. 225, par. 1º, III, da CF/88 e art. 219, II, da CER/89).</w:t>
      </w:r>
    </w:p>
    <w:p w14:paraId="186190C5" w14:textId="5DF972E3" w:rsidR="00286D8C" w:rsidRDefault="000E0331" w:rsidP="00B64423">
      <w:pPr>
        <w:spacing w:after="0" w:line="320" w:lineRule="exact"/>
        <w:ind w:firstLine="708"/>
        <w:jc w:val="both"/>
      </w:pPr>
      <w:r>
        <w:t xml:space="preserve">Desse modo, mais do que uma ação necessária para uma gestão ambiental eficiente, a instituição de </w:t>
      </w:r>
      <w:r w:rsidR="00117653">
        <w:t xml:space="preserve">unidades </w:t>
      </w:r>
      <w:r>
        <w:t xml:space="preserve">de </w:t>
      </w:r>
      <w:r w:rsidR="00117653">
        <w:t xml:space="preserve">conservação </w:t>
      </w:r>
      <w:r>
        <w:t>configura-se como uma verdadeira obrigação do Poder Público estadual, por imposição direta da Constituição Federal e da Constituição do Estado.</w:t>
      </w:r>
    </w:p>
    <w:p w14:paraId="479EAEE3" w14:textId="07B1490C" w:rsidR="00043BB2" w:rsidRDefault="00666370" w:rsidP="00C5140E">
      <w:pPr>
        <w:spacing w:after="0" w:line="320" w:lineRule="exact"/>
        <w:ind w:firstLine="708"/>
        <w:jc w:val="both"/>
      </w:pPr>
      <w:r>
        <w:t>Como esse</w:t>
      </w:r>
      <w:r w:rsidR="00286D8C">
        <w:t xml:space="preserve"> encargo foi </w:t>
      </w:r>
      <w:r w:rsidR="00BD419D">
        <w:t>conferido</w:t>
      </w:r>
      <w:r w:rsidR="00286D8C">
        <w:t xml:space="preserve"> ao </w:t>
      </w:r>
      <w:r w:rsidR="00286D8C">
        <w:rPr>
          <w:i/>
        </w:rPr>
        <w:t>Poder Público</w:t>
      </w:r>
      <w:r w:rsidR="00286D8C">
        <w:t xml:space="preserve">, o </w:t>
      </w:r>
      <w:r w:rsidR="00286D8C" w:rsidRPr="00286D8C">
        <w:rPr>
          <w:i/>
        </w:rPr>
        <w:t>Poder Executivo</w:t>
      </w:r>
      <w:r w:rsidR="00286D8C">
        <w:t xml:space="preserve"> tem plena </w:t>
      </w:r>
      <w:r w:rsidR="00BD419D">
        <w:t>atribuição</w:t>
      </w:r>
      <w:r w:rsidR="000E0331">
        <w:t xml:space="preserve"> </w:t>
      </w:r>
      <w:r w:rsidR="00286D8C">
        <w:t xml:space="preserve">para criar </w:t>
      </w:r>
      <w:r w:rsidR="00117653">
        <w:t xml:space="preserve">áreas </w:t>
      </w:r>
      <w:r w:rsidR="00286D8C">
        <w:t xml:space="preserve">de </w:t>
      </w:r>
      <w:r w:rsidR="00117653">
        <w:t>p</w:t>
      </w:r>
      <w:r w:rsidR="00286D8C">
        <w:t xml:space="preserve">roteção </w:t>
      </w:r>
      <w:r w:rsidR="00117653">
        <w:t>ambiental</w:t>
      </w:r>
      <w:r w:rsidR="00286D8C">
        <w:t xml:space="preserve">, </w:t>
      </w:r>
      <w:r w:rsidR="00117653">
        <w:t>florestas estaduais</w:t>
      </w:r>
      <w:r w:rsidR="00286D8C">
        <w:t xml:space="preserve">, </w:t>
      </w:r>
      <w:r w:rsidR="00117653">
        <w:t>estações ecológicas</w:t>
      </w:r>
      <w:r w:rsidR="00286D8C">
        <w:t xml:space="preserve">, </w:t>
      </w:r>
      <w:r w:rsidR="00117653">
        <w:t xml:space="preserve">reservas </w:t>
      </w:r>
      <w:r w:rsidR="00286D8C">
        <w:t xml:space="preserve">de </w:t>
      </w:r>
      <w:r w:rsidR="00117653">
        <w:t>fauna</w:t>
      </w:r>
      <w:r w:rsidR="00286D8C">
        <w:t xml:space="preserve">, </w:t>
      </w:r>
      <w:r w:rsidR="00117653">
        <w:t>parques estaduais</w:t>
      </w:r>
      <w:r w:rsidR="00286D8C">
        <w:t xml:space="preserve">, </w:t>
      </w:r>
      <w:r w:rsidR="00117653">
        <w:t xml:space="preserve">reservas </w:t>
      </w:r>
      <w:r w:rsidR="00286D8C">
        <w:t xml:space="preserve">de </w:t>
      </w:r>
      <w:r w:rsidR="00117653">
        <w:t xml:space="preserve">desenvolvimento sustentável </w:t>
      </w:r>
      <w:r w:rsidR="00BD419D">
        <w:t xml:space="preserve">e quaisquer outras </w:t>
      </w:r>
      <w:r w:rsidR="00117653">
        <w:t xml:space="preserve">modalidades </w:t>
      </w:r>
      <w:r w:rsidR="00BD419D">
        <w:t xml:space="preserve">de espaços territoriais especialmente protegidos. Essa competência </w:t>
      </w:r>
      <w:r w:rsidR="00BD419D">
        <w:lastRenderedPageBreak/>
        <w:t>criativa do Poder Executivo</w:t>
      </w:r>
      <w:r w:rsidR="002A0E68">
        <w:t>, que deriva diretamente da Constituição Federal,</w:t>
      </w:r>
      <w:r w:rsidR="00BD419D">
        <w:t xml:space="preserve"> já foi confirmada, inclusive, pelo Supremo Tribunal Federal </w:t>
      </w:r>
      <w:r w:rsidR="003615D8">
        <w:t xml:space="preserve">– STF </w:t>
      </w:r>
      <w:r w:rsidR="00BD419D">
        <w:t>(</w:t>
      </w:r>
      <w:r w:rsidR="002A0E68">
        <w:t xml:space="preserve">ACO 838, </w:t>
      </w:r>
      <w:r w:rsidR="00BD419D">
        <w:t>MS 25.347, MS 26.064, MS 27.622</w:t>
      </w:r>
      <w:r w:rsidR="002A0E68">
        <w:t>).</w:t>
      </w:r>
      <w:r w:rsidR="002A2141">
        <w:t xml:space="preserve"> Assim, quaisquer normas que visem a retirar </w:t>
      </w:r>
      <w:r w:rsidR="003615D8">
        <w:t xml:space="preserve">essa incumbência </w:t>
      </w:r>
      <w:r w:rsidR="002A2141">
        <w:t>d</w:t>
      </w:r>
      <w:r w:rsidR="003615D8">
        <w:t>o</w:t>
      </w:r>
      <w:r w:rsidR="002A2141">
        <w:t xml:space="preserve"> Governo de Rondônia</w:t>
      </w:r>
      <w:r w:rsidR="003615D8">
        <w:t xml:space="preserve"> devem ser consideradas nulas, por violação direta da Constituição Federal e da jurisprudência pacifica do STF.</w:t>
      </w:r>
    </w:p>
    <w:p w14:paraId="707D3CE1" w14:textId="4EB7978F" w:rsidR="00286D8C" w:rsidRDefault="0092291D" w:rsidP="00A20CC3">
      <w:pPr>
        <w:spacing w:after="0" w:line="320" w:lineRule="exact"/>
        <w:ind w:firstLine="708"/>
        <w:jc w:val="both"/>
      </w:pPr>
      <w:r>
        <w:t>P</w:t>
      </w:r>
      <w:r w:rsidR="00A20CC3">
        <w:t xml:space="preserve">or essas razões, </w:t>
      </w:r>
      <w:r>
        <w:t>s</w:t>
      </w:r>
      <w:r w:rsidR="00A20CC3">
        <w:t xml:space="preserve">enhor </w:t>
      </w:r>
      <w:r>
        <w:t>g</w:t>
      </w:r>
      <w:r w:rsidR="00A20CC3">
        <w:t>overnador, confiamos que Vossa Excelência se valerá de suas prerrogativas (art. 42, par. 1º, CER/89) para vetar integralmente o PLC nº 242/2018, tanto por sua contrariedade ao interesse público quanto por sua flagrante inconstitucionalidade.</w:t>
      </w:r>
    </w:p>
    <w:p w14:paraId="75276F67" w14:textId="545E4B78" w:rsidR="00A20CC3" w:rsidRDefault="00A20CC3" w:rsidP="00A20CC3">
      <w:pPr>
        <w:spacing w:after="0" w:line="320" w:lineRule="exact"/>
        <w:ind w:firstLine="708"/>
        <w:jc w:val="both"/>
      </w:pPr>
      <w:r>
        <w:t>Nesses termos, colocando-nos à sua disposição e celebrando a sua coragem e sabedoria, despedimo-nos com os melhores cumprimentos.</w:t>
      </w:r>
    </w:p>
    <w:p w14:paraId="40821256" w14:textId="59063B9E" w:rsidR="000121A1" w:rsidRDefault="000121A1" w:rsidP="00A20CC3">
      <w:pPr>
        <w:spacing w:after="0" w:line="320" w:lineRule="exact"/>
        <w:ind w:firstLine="708"/>
        <w:jc w:val="both"/>
      </w:pPr>
    </w:p>
    <w:p w14:paraId="5F29F616" w14:textId="27D4E059" w:rsidR="000121A1" w:rsidRDefault="000121A1" w:rsidP="00A20CC3">
      <w:pPr>
        <w:spacing w:after="0" w:line="320" w:lineRule="exact"/>
        <w:ind w:firstLine="708"/>
        <w:jc w:val="both"/>
      </w:pPr>
      <w:r>
        <w:t>Assinam:</w:t>
      </w:r>
    </w:p>
    <w:p w14:paraId="2CAF7439" w14:textId="77777777" w:rsidR="007056BB" w:rsidRDefault="007056BB" w:rsidP="00A20CC3">
      <w:pPr>
        <w:spacing w:after="0" w:line="320" w:lineRule="exact"/>
        <w:ind w:firstLine="708"/>
        <w:jc w:val="both"/>
      </w:pPr>
    </w:p>
    <w:p w14:paraId="385D8DFC" w14:textId="040DFDF9" w:rsidR="000121A1" w:rsidRPr="007056BB" w:rsidRDefault="007056BB" w:rsidP="00A20CC3">
      <w:pPr>
        <w:spacing w:after="0" w:line="320" w:lineRule="exact"/>
        <w:ind w:firstLine="708"/>
        <w:jc w:val="both"/>
        <w:rPr>
          <w:b/>
        </w:rPr>
      </w:pPr>
      <w:r w:rsidRPr="007056BB">
        <w:rPr>
          <w:b/>
        </w:rPr>
        <w:t xml:space="preserve">COLETIVOS: </w:t>
      </w:r>
    </w:p>
    <w:p w14:paraId="446A6D63" w14:textId="35E2E018" w:rsidR="000121A1" w:rsidRDefault="007056BB" w:rsidP="00B35287">
      <w:pPr>
        <w:spacing w:after="0" w:line="320" w:lineRule="exact"/>
        <w:ind w:left="708"/>
        <w:jc w:val="both"/>
      </w:pPr>
      <w:r>
        <w:rPr>
          <w:b/>
        </w:rPr>
        <w:t xml:space="preserve">- </w:t>
      </w:r>
      <w:r w:rsidR="000121A1" w:rsidRPr="00B35287">
        <w:rPr>
          <w:b/>
        </w:rPr>
        <w:t>Aliança pela restauração da Amazônia</w:t>
      </w:r>
      <w:r w:rsidR="00B35287">
        <w:t xml:space="preserve"> </w:t>
      </w:r>
      <w:r w:rsidR="00B35287" w:rsidRPr="00B35287">
        <w:rPr>
          <w:i/>
          <w:sz w:val="20"/>
          <w:szCs w:val="20"/>
        </w:rPr>
        <w:t>(reúne mais de 60 instituições da sociedade civil, governamentais, de pesquisa e empresas. Entre outros objetivos, busca conciliar interesses e integrar ações em prol da ampliação da escala e da eficiência da restauração florestal; impulsionar a economia da restauração florestal, estimulando todos os elos da cadeia; contribuir para formulação e implementação de políticas públicas e instrumentos econômicos que favoreçam a restauração florestal; e desenvolver ações de conscientização e sensibilização da sociedade civil acerca da necessidade de conservação/restauração da Amazônia</w:t>
      </w:r>
      <w:r w:rsidR="00B35287">
        <w:rPr>
          <w:i/>
          <w:sz w:val="20"/>
          <w:szCs w:val="20"/>
        </w:rPr>
        <w:t>)</w:t>
      </w:r>
    </w:p>
    <w:p w14:paraId="4D3A9800" w14:textId="77777777" w:rsidR="00B35287" w:rsidRDefault="00B35287" w:rsidP="00A20CC3">
      <w:pPr>
        <w:spacing w:after="0" w:line="320" w:lineRule="exact"/>
        <w:ind w:firstLine="708"/>
        <w:jc w:val="both"/>
      </w:pPr>
    </w:p>
    <w:p w14:paraId="4FA2CC9B" w14:textId="6F826034" w:rsidR="000121A1" w:rsidRDefault="007056BB" w:rsidP="007056BB">
      <w:pPr>
        <w:spacing w:after="0" w:line="320" w:lineRule="exact"/>
        <w:ind w:left="708"/>
        <w:jc w:val="both"/>
      </w:pPr>
      <w:r>
        <w:rPr>
          <w:b/>
        </w:rPr>
        <w:t xml:space="preserve">- </w:t>
      </w:r>
      <w:r w:rsidR="000121A1" w:rsidRPr="007056BB">
        <w:rPr>
          <w:b/>
        </w:rPr>
        <w:t>Coalizão Pro-</w:t>
      </w:r>
      <w:proofErr w:type="spellStart"/>
      <w:r w:rsidR="000121A1" w:rsidRPr="007056BB">
        <w:rPr>
          <w:b/>
        </w:rPr>
        <w:t>UCs</w:t>
      </w:r>
      <w:proofErr w:type="spellEnd"/>
      <w:r w:rsidR="00B35287">
        <w:t xml:space="preserve"> </w:t>
      </w:r>
      <w:r w:rsidRPr="007056BB">
        <w:rPr>
          <w:i/>
          <w:sz w:val="20"/>
          <w:szCs w:val="20"/>
        </w:rPr>
        <w:t>(</w:t>
      </w:r>
      <w:r w:rsidR="00B35287" w:rsidRPr="007056BB">
        <w:rPr>
          <w:i/>
          <w:sz w:val="20"/>
          <w:szCs w:val="20"/>
        </w:rPr>
        <w:t>iniciativa formada por algumas das mais representativas ONGs de conservação da natureza do Brasil.</w:t>
      </w:r>
      <w:r w:rsidRPr="007056BB">
        <w:rPr>
          <w:i/>
          <w:sz w:val="20"/>
          <w:szCs w:val="20"/>
        </w:rPr>
        <w:t xml:space="preserve"> </w:t>
      </w:r>
      <w:r w:rsidR="00B35287" w:rsidRPr="007056BB">
        <w:rPr>
          <w:i/>
          <w:sz w:val="20"/>
          <w:szCs w:val="20"/>
        </w:rPr>
        <w:t xml:space="preserve">Entre os objetivos da Coalizão, estão a contribuição para a valorização das </w:t>
      </w:r>
      <w:proofErr w:type="spellStart"/>
      <w:r w:rsidR="00B35287" w:rsidRPr="007056BB">
        <w:rPr>
          <w:i/>
          <w:sz w:val="20"/>
          <w:szCs w:val="20"/>
        </w:rPr>
        <w:t>UCs</w:t>
      </w:r>
      <w:proofErr w:type="spellEnd"/>
      <w:r w:rsidR="00B35287" w:rsidRPr="007056BB">
        <w:rPr>
          <w:i/>
          <w:sz w:val="20"/>
          <w:szCs w:val="20"/>
        </w:rPr>
        <w:t xml:space="preserve"> pelo poder público e pela sociedade, a implementação adequada e a criação de novas </w:t>
      </w:r>
      <w:proofErr w:type="spellStart"/>
      <w:r w:rsidR="00B35287" w:rsidRPr="007056BB">
        <w:rPr>
          <w:i/>
          <w:sz w:val="20"/>
          <w:szCs w:val="20"/>
        </w:rPr>
        <w:t>UCs</w:t>
      </w:r>
      <w:proofErr w:type="spellEnd"/>
      <w:r w:rsidR="00B35287" w:rsidRPr="007056BB">
        <w:rPr>
          <w:i/>
          <w:sz w:val="20"/>
          <w:szCs w:val="20"/>
        </w:rPr>
        <w:t xml:space="preserve">, de acordo com compromissos firmados pelo Brasil em diversos fóruns mundiais, como </w:t>
      </w:r>
      <w:proofErr w:type="spellStart"/>
      <w:r w:rsidR="00B35287" w:rsidRPr="007056BB">
        <w:rPr>
          <w:i/>
          <w:sz w:val="20"/>
          <w:szCs w:val="20"/>
        </w:rPr>
        <w:t>Aishi</w:t>
      </w:r>
      <w:proofErr w:type="spellEnd"/>
      <w:r w:rsidR="00B35287" w:rsidRPr="007056BB">
        <w:rPr>
          <w:i/>
          <w:sz w:val="20"/>
          <w:szCs w:val="20"/>
        </w:rPr>
        <w:t xml:space="preserve"> e a CDB, entre outros</w:t>
      </w:r>
      <w:r w:rsidRPr="007056BB">
        <w:rPr>
          <w:i/>
          <w:sz w:val="20"/>
          <w:szCs w:val="20"/>
        </w:rPr>
        <w:t>)</w:t>
      </w:r>
    </w:p>
    <w:p w14:paraId="50D49E3F" w14:textId="77777777" w:rsidR="007056BB" w:rsidRDefault="007056BB" w:rsidP="00A20CC3">
      <w:pPr>
        <w:spacing w:after="0" w:line="320" w:lineRule="exact"/>
        <w:ind w:firstLine="708"/>
        <w:jc w:val="both"/>
        <w:rPr>
          <w:b/>
        </w:rPr>
      </w:pPr>
    </w:p>
    <w:p w14:paraId="09023B44" w14:textId="177078BD" w:rsidR="00B35287" w:rsidRDefault="007056BB" w:rsidP="00A20CC3">
      <w:pPr>
        <w:spacing w:after="0" w:line="320" w:lineRule="exact"/>
        <w:ind w:firstLine="708"/>
        <w:jc w:val="both"/>
        <w:rPr>
          <w:b/>
        </w:rPr>
      </w:pPr>
      <w:r w:rsidRPr="007056BB">
        <w:rPr>
          <w:b/>
        </w:rPr>
        <w:t>INSTITUIÇÕES:</w:t>
      </w:r>
    </w:p>
    <w:p w14:paraId="160B2C28" w14:textId="77777777" w:rsidR="007056BB" w:rsidRDefault="007056BB" w:rsidP="00A20CC3">
      <w:pPr>
        <w:spacing w:after="0" w:line="320" w:lineRule="exact"/>
        <w:ind w:firstLine="708"/>
        <w:jc w:val="both"/>
        <w:rPr>
          <w:b/>
        </w:rPr>
      </w:pPr>
    </w:p>
    <w:p w14:paraId="395C9B75" w14:textId="07C7C632" w:rsidR="007056BB" w:rsidRPr="007056BB" w:rsidRDefault="007056BB" w:rsidP="00A20CC3">
      <w:pPr>
        <w:spacing w:after="0" w:line="320" w:lineRule="exact"/>
        <w:ind w:firstLine="708"/>
        <w:jc w:val="both"/>
        <w:rPr>
          <w:b/>
        </w:rPr>
      </w:pPr>
      <w:r>
        <w:rPr>
          <w:b/>
        </w:rPr>
        <w:t xml:space="preserve">- </w:t>
      </w:r>
      <w:r w:rsidRPr="00B35287">
        <w:rPr>
          <w:b/>
        </w:rPr>
        <w:t xml:space="preserve">Associação de Defesa </w:t>
      </w:r>
      <w:proofErr w:type="spellStart"/>
      <w:r w:rsidRPr="00B35287">
        <w:rPr>
          <w:b/>
        </w:rPr>
        <w:t>Etnoambiental</w:t>
      </w:r>
      <w:proofErr w:type="spellEnd"/>
      <w:r w:rsidRPr="00B35287">
        <w:rPr>
          <w:b/>
        </w:rPr>
        <w:t xml:space="preserve"> </w:t>
      </w:r>
      <w:proofErr w:type="spellStart"/>
      <w:r w:rsidRPr="00B35287">
        <w:rPr>
          <w:b/>
        </w:rPr>
        <w:t>Kanindé</w:t>
      </w:r>
      <w:proofErr w:type="spellEnd"/>
    </w:p>
    <w:p w14:paraId="09BC4A06" w14:textId="77777777" w:rsidR="007056BB" w:rsidRDefault="007056BB" w:rsidP="00A20CC3">
      <w:pPr>
        <w:spacing w:after="0" w:line="320" w:lineRule="exact"/>
        <w:ind w:firstLine="708"/>
        <w:jc w:val="both"/>
        <w:rPr>
          <w:b/>
        </w:rPr>
      </w:pPr>
    </w:p>
    <w:p w14:paraId="036DDBC1" w14:textId="01A3F360" w:rsidR="000121A1" w:rsidRPr="007056BB" w:rsidRDefault="007056BB" w:rsidP="00A20CC3">
      <w:pPr>
        <w:spacing w:after="0" w:line="320" w:lineRule="exact"/>
        <w:ind w:firstLine="708"/>
        <w:jc w:val="both"/>
        <w:rPr>
          <w:b/>
        </w:rPr>
      </w:pPr>
      <w:r>
        <w:rPr>
          <w:b/>
        </w:rPr>
        <w:t xml:space="preserve">- </w:t>
      </w:r>
      <w:r w:rsidR="000121A1" w:rsidRPr="007056BB">
        <w:rPr>
          <w:b/>
        </w:rPr>
        <w:t xml:space="preserve">Fundo Brasileiro para a Biodiversidade – </w:t>
      </w:r>
      <w:proofErr w:type="spellStart"/>
      <w:r w:rsidR="000121A1" w:rsidRPr="007056BB">
        <w:rPr>
          <w:b/>
        </w:rPr>
        <w:t>Funbio</w:t>
      </w:r>
      <w:proofErr w:type="spellEnd"/>
    </w:p>
    <w:p w14:paraId="1338D828" w14:textId="77777777" w:rsidR="00B35287" w:rsidRPr="007056BB" w:rsidRDefault="00B35287" w:rsidP="000121A1">
      <w:pPr>
        <w:spacing w:after="0" w:line="320" w:lineRule="exact"/>
        <w:ind w:firstLine="708"/>
        <w:jc w:val="both"/>
        <w:rPr>
          <w:b/>
        </w:rPr>
      </w:pPr>
    </w:p>
    <w:p w14:paraId="2A32004C" w14:textId="39F7731D" w:rsidR="000121A1" w:rsidRDefault="007056BB" w:rsidP="000121A1">
      <w:pPr>
        <w:spacing w:after="0" w:line="320" w:lineRule="exact"/>
        <w:ind w:firstLine="708"/>
        <w:jc w:val="both"/>
        <w:rPr>
          <w:b/>
        </w:rPr>
      </w:pPr>
      <w:r>
        <w:rPr>
          <w:b/>
        </w:rPr>
        <w:t xml:space="preserve">- </w:t>
      </w:r>
      <w:r w:rsidR="000121A1" w:rsidRPr="007056BB">
        <w:rPr>
          <w:b/>
        </w:rPr>
        <w:t xml:space="preserve">Instituto do Homem e Meio Ambiente da Amazônia – </w:t>
      </w:r>
      <w:proofErr w:type="spellStart"/>
      <w:r w:rsidR="000121A1" w:rsidRPr="007056BB">
        <w:rPr>
          <w:b/>
        </w:rPr>
        <w:t>Imazon</w:t>
      </w:r>
      <w:proofErr w:type="spellEnd"/>
    </w:p>
    <w:p w14:paraId="6507E7FD" w14:textId="77777777" w:rsidR="007A4F14" w:rsidRDefault="007A4F14" w:rsidP="000121A1">
      <w:pPr>
        <w:spacing w:after="0" w:line="320" w:lineRule="exact"/>
        <w:ind w:firstLine="708"/>
        <w:jc w:val="both"/>
        <w:rPr>
          <w:b/>
        </w:rPr>
      </w:pPr>
    </w:p>
    <w:p w14:paraId="11FD0D3F" w14:textId="2B6C3857" w:rsidR="007A4F14" w:rsidRPr="007A4F14" w:rsidRDefault="007A4F14" w:rsidP="007A4F14">
      <w:pPr>
        <w:spacing w:after="0" w:line="320" w:lineRule="exact"/>
        <w:ind w:firstLine="708"/>
        <w:jc w:val="both"/>
        <w:rPr>
          <w:b/>
        </w:rPr>
      </w:pPr>
      <w:r>
        <w:rPr>
          <w:b/>
        </w:rPr>
        <w:t xml:space="preserve">- </w:t>
      </w:r>
      <w:r w:rsidRPr="007A4F14">
        <w:rPr>
          <w:b/>
        </w:rPr>
        <w:t xml:space="preserve">Instituto de Manejo e Certificação Florestal e Agrícola – </w:t>
      </w:r>
      <w:proofErr w:type="spellStart"/>
      <w:r w:rsidRPr="007A4F14">
        <w:rPr>
          <w:b/>
        </w:rPr>
        <w:t>Imaflora</w:t>
      </w:r>
      <w:proofErr w:type="spellEnd"/>
    </w:p>
    <w:p w14:paraId="05F727C5" w14:textId="77777777" w:rsidR="00B35287" w:rsidRPr="007056BB" w:rsidRDefault="00B35287" w:rsidP="000121A1">
      <w:pPr>
        <w:spacing w:after="0" w:line="320" w:lineRule="exact"/>
        <w:ind w:firstLine="708"/>
        <w:jc w:val="both"/>
        <w:rPr>
          <w:b/>
        </w:rPr>
      </w:pPr>
    </w:p>
    <w:p w14:paraId="3D2495AD" w14:textId="7DEFBCDC" w:rsidR="00B35287" w:rsidRPr="007056BB" w:rsidRDefault="007056BB" w:rsidP="000121A1">
      <w:pPr>
        <w:spacing w:after="0" w:line="320" w:lineRule="exact"/>
        <w:ind w:firstLine="708"/>
        <w:jc w:val="both"/>
        <w:rPr>
          <w:b/>
        </w:rPr>
      </w:pPr>
      <w:r>
        <w:rPr>
          <w:b/>
        </w:rPr>
        <w:t xml:space="preserve">- </w:t>
      </w:r>
      <w:r w:rsidR="00B35287" w:rsidRPr="007056BB">
        <w:rPr>
          <w:b/>
        </w:rPr>
        <w:t xml:space="preserve">The </w:t>
      </w:r>
      <w:proofErr w:type="spellStart"/>
      <w:r w:rsidR="00B35287" w:rsidRPr="007056BB">
        <w:rPr>
          <w:b/>
        </w:rPr>
        <w:t>Nature</w:t>
      </w:r>
      <w:proofErr w:type="spellEnd"/>
      <w:r w:rsidR="00B35287" w:rsidRPr="007056BB">
        <w:rPr>
          <w:b/>
        </w:rPr>
        <w:t xml:space="preserve"> </w:t>
      </w:r>
      <w:proofErr w:type="spellStart"/>
      <w:r w:rsidR="00B35287" w:rsidRPr="007056BB">
        <w:rPr>
          <w:b/>
        </w:rPr>
        <w:t>Conservancy</w:t>
      </w:r>
      <w:proofErr w:type="spellEnd"/>
      <w:r w:rsidR="00B35287" w:rsidRPr="007056BB">
        <w:rPr>
          <w:b/>
        </w:rPr>
        <w:t xml:space="preserve"> -TNC</w:t>
      </w:r>
    </w:p>
    <w:p w14:paraId="7CF61433" w14:textId="77777777" w:rsidR="00B35287" w:rsidRPr="007056BB" w:rsidRDefault="00B35287" w:rsidP="000121A1">
      <w:pPr>
        <w:spacing w:after="0" w:line="320" w:lineRule="exact"/>
        <w:ind w:firstLine="708"/>
        <w:jc w:val="both"/>
        <w:rPr>
          <w:b/>
        </w:rPr>
      </w:pPr>
    </w:p>
    <w:p w14:paraId="18570213" w14:textId="7102CCB7" w:rsidR="000121A1" w:rsidRPr="000121A1" w:rsidRDefault="007056BB" w:rsidP="000121A1">
      <w:pPr>
        <w:spacing w:after="0" w:line="320" w:lineRule="exact"/>
        <w:ind w:firstLine="708"/>
        <w:jc w:val="both"/>
      </w:pPr>
      <w:r>
        <w:rPr>
          <w:b/>
        </w:rPr>
        <w:t xml:space="preserve">- </w:t>
      </w:r>
      <w:r w:rsidR="000121A1" w:rsidRPr="007056BB">
        <w:rPr>
          <w:b/>
        </w:rPr>
        <w:t>WWF-Brasil</w:t>
      </w:r>
    </w:p>
    <w:sectPr w:rsidR="000121A1" w:rsidRPr="00012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BB37C" w14:textId="77777777" w:rsidR="00A35ABD" w:rsidRDefault="00A35ABD" w:rsidP="000316D3">
      <w:pPr>
        <w:spacing w:after="0" w:line="240" w:lineRule="auto"/>
      </w:pPr>
      <w:r>
        <w:separator/>
      </w:r>
    </w:p>
  </w:endnote>
  <w:endnote w:type="continuationSeparator" w:id="0">
    <w:p w14:paraId="112B3F67" w14:textId="77777777" w:rsidR="00A35ABD" w:rsidRDefault="00A35ABD" w:rsidP="0003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0E128" w14:textId="77777777" w:rsidR="00A35ABD" w:rsidRDefault="00A35ABD" w:rsidP="000316D3">
      <w:pPr>
        <w:spacing w:after="0" w:line="240" w:lineRule="auto"/>
      </w:pPr>
      <w:r>
        <w:separator/>
      </w:r>
    </w:p>
  </w:footnote>
  <w:footnote w:type="continuationSeparator" w:id="0">
    <w:p w14:paraId="2572E063" w14:textId="77777777" w:rsidR="00A35ABD" w:rsidRDefault="00A35ABD" w:rsidP="000316D3">
      <w:pPr>
        <w:spacing w:after="0" w:line="240" w:lineRule="auto"/>
      </w:pPr>
      <w:r>
        <w:continuationSeparator/>
      </w:r>
    </w:p>
  </w:footnote>
  <w:footnote w:id="1">
    <w:p w14:paraId="641D2CC5" w14:textId="2C9F193D" w:rsidR="000316D3" w:rsidRPr="00DA15B6" w:rsidRDefault="000316D3" w:rsidP="00DA15B6">
      <w:pPr>
        <w:pStyle w:val="FootnoteText"/>
        <w:jc w:val="both"/>
      </w:pPr>
      <w:r w:rsidRPr="00DA15B6">
        <w:rPr>
          <w:rStyle w:val="FootnoteReference"/>
        </w:rPr>
        <w:footnoteRef/>
      </w:r>
      <w:r w:rsidRPr="00DA15B6">
        <w:t xml:space="preserve"> </w:t>
      </w:r>
      <w:r w:rsidR="00DA15B6" w:rsidRPr="00DA15B6">
        <w:t xml:space="preserve">São elas: EE Umirizal (Decreto 22.682/2018), </w:t>
      </w:r>
      <w:proofErr w:type="spellStart"/>
      <w:r w:rsidR="00DA15B6" w:rsidRPr="00DA15B6">
        <w:t>ResFau</w:t>
      </w:r>
      <w:proofErr w:type="spellEnd"/>
      <w:r w:rsidR="00DA15B6" w:rsidRPr="00DA15B6">
        <w:t xml:space="preserve"> Pau D’Óleo (Decreto 22.683/2018), PES </w:t>
      </w:r>
      <w:proofErr w:type="spellStart"/>
      <w:r w:rsidR="00DA15B6" w:rsidRPr="00DA15B6">
        <w:t>Abaitará</w:t>
      </w:r>
      <w:proofErr w:type="spellEnd"/>
      <w:r w:rsidR="00DA15B6" w:rsidRPr="00DA15B6">
        <w:t xml:space="preserve">  (Decreto 22.684/2018), RDS Rio Machado  (Decreto 22.685/2018), RDS Limoeiro  (Decreto 22.686/2018), RDS Serra Grande  (Decreto 22.687/2018), PES Ilha das Flores  (Decreto 22.688/2018), RDS Bom Jardim  (Decreto 22.689/2018), EE Soldado da Borracha  (Decreto 22.690/2018).</w:t>
      </w:r>
    </w:p>
  </w:footnote>
  <w:footnote w:id="2">
    <w:p w14:paraId="4E4B75C8" w14:textId="34B6E6B9" w:rsidR="000316D3" w:rsidRDefault="000316D3" w:rsidP="00DA15B6">
      <w:pPr>
        <w:pStyle w:val="FootnoteText"/>
        <w:jc w:val="both"/>
      </w:pPr>
      <w:r w:rsidRPr="00DA15B6">
        <w:rPr>
          <w:rStyle w:val="FootnoteReference"/>
        </w:rPr>
        <w:footnoteRef/>
      </w:r>
      <w:r w:rsidRPr="00DA15B6">
        <w:t xml:space="preserve"> </w:t>
      </w:r>
      <w:r w:rsidR="00DA15B6" w:rsidRPr="00DA15B6">
        <w:t>São elas: ÁPA do Rio Pardo (Decreto 22.680/2018) e FES do Rio Pardo  (Decreto 22.681/2018).</w:t>
      </w:r>
    </w:p>
  </w:footnote>
  <w:footnote w:id="3">
    <w:p w14:paraId="3FF248EE" w14:textId="77777777" w:rsidR="000316D3" w:rsidRPr="000316D3" w:rsidRDefault="000316D3" w:rsidP="000316D3">
      <w:pPr>
        <w:pStyle w:val="FootnoteText"/>
        <w:jc w:val="both"/>
        <w:rPr>
          <w:sz w:val="22"/>
        </w:rPr>
      </w:pPr>
      <w:r>
        <w:rPr>
          <w:rStyle w:val="FootnoteReference"/>
        </w:rPr>
        <w:footnoteRef/>
      </w:r>
      <w:r>
        <w:t xml:space="preserve"> Ação Civil Pública nº </w:t>
      </w:r>
      <w:r w:rsidRPr="000316D3">
        <w:t>0017310-42.2014.8.22.0001</w:t>
      </w:r>
      <w:r w:rsidR="00EE4166">
        <w:t>.</w:t>
      </w:r>
      <w:r>
        <w:t xml:space="preserve"> </w:t>
      </w:r>
      <w:r w:rsidR="00EE4166">
        <w:t>Requerente:</w:t>
      </w:r>
      <w:r>
        <w:t xml:space="preserve"> Ministério Público do Estado de Rondônia.</w:t>
      </w:r>
      <w:r w:rsidR="00EE4166">
        <w:t xml:space="preserve"> Requerido: Estado de Rondônia.</w:t>
      </w:r>
    </w:p>
  </w:footnote>
  <w:footnote w:id="4">
    <w:p w14:paraId="15FB87BA" w14:textId="77777777" w:rsidR="007056BB" w:rsidRPr="00057769" w:rsidRDefault="007056BB" w:rsidP="007056B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D7652">
        <w:t>http://ciencia.usp.br/index.php/2017/03/21/desmatamento-muda-sistema-das-chuvas-em-rondonia/</w:t>
      </w:r>
    </w:p>
  </w:footnote>
  <w:footnote w:id="5">
    <w:p w14:paraId="7CB58C00" w14:textId="77777777" w:rsidR="004532B8" w:rsidRDefault="004532B8">
      <w:pPr>
        <w:pStyle w:val="FootnoteText"/>
      </w:pPr>
      <w:r>
        <w:rPr>
          <w:rStyle w:val="FootnoteReference"/>
        </w:rPr>
        <w:footnoteRef/>
      </w:r>
      <w:r>
        <w:t xml:space="preserve"> Segundo dados do INPE, disponíveis em: </w:t>
      </w:r>
      <w:hyperlink r:id="rId1" w:history="1">
        <w:r w:rsidRPr="00741A7D">
          <w:rPr>
            <w:rStyle w:val="Hyperlink"/>
          </w:rPr>
          <w:t>http://www.obt.inpe.br/prodes/dashboard/prodes-rates.html</w:t>
        </w:r>
      </w:hyperlink>
      <w:r>
        <w:t xml:space="preserve"> </w:t>
      </w:r>
    </w:p>
  </w:footnote>
  <w:footnote w:id="6">
    <w:p w14:paraId="5BC8E87D" w14:textId="77777777" w:rsidR="004532B8" w:rsidRDefault="004532B8" w:rsidP="004532B8">
      <w:pPr>
        <w:pStyle w:val="FootnoteText"/>
      </w:pPr>
      <w:r>
        <w:rPr>
          <w:rStyle w:val="FootnoteReference"/>
        </w:rPr>
        <w:footnoteRef/>
      </w:r>
      <w:r>
        <w:t xml:space="preserve"> Segundo dados do INPE, disponíveis em: </w:t>
      </w:r>
      <w:hyperlink r:id="rId2" w:history="1">
        <w:r w:rsidRPr="00741A7D">
          <w:rPr>
            <w:rStyle w:val="Hyperlink"/>
          </w:rPr>
          <w:t>http://www.obt.inpe.br/prodes/dashboard/prodes-rates.html</w:t>
        </w:r>
      </w:hyperlink>
    </w:p>
  </w:footnote>
  <w:footnote w:id="7">
    <w:p w14:paraId="458BF36E" w14:textId="77777777" w:rsidR="004532B8" w:rsidRDefault="004532B8">
      <w:pPr>
        <w:pStyle w:val="FootnoteText"/>
      </w:pPr>
      <w:r>
        <w:rPr>
          <w:rStyle w:val="FootnoteReference"/>
        </w:rPr>
        <w:footnoteRef/>
      </w:r>
      <w:r>
        <w:t xml:space="preserve">  Segundo dados do INPE, disponíveis em: </w:t>
      </w:r>
      <w:hyperlink r:id="rId3" w:history="1">
        <w:r w:rsidRPr="00741A7D">
          <w:rPr>
            <w:rStyle w:val="Hyperlink"/>
          </w:rPr>
          <w:t>http://www.inpe.br/noticias/noticia.php?Cod_Noticia=4344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72"/>
    <w:rsid w:val="000121A1"/>
    <w:rsid w:val="000316D3"/>
    <w:rsid w:val="00043BB2"/>
    <w:rsid w:val="000D41C9"/>
    <w:rsid w:val="000E0331"/>
    <w:rsid w:val="000F2B96"/>
    <w:rsid w:val="000F5916"/>
    <w:rsid w:val="00117653"/>
    <w:rsid w:val="00123F16"/>
    <w:rsid w:val="00142F12"/>
    <w:rsid w:val="0016290B"/>
    <w:rsid w:val="001E36E1"/>
    <w:rsid w:val="001E3EDA"/>
    <w:rsid w:val="001F3B1E"/>
    <w:rsid w:val="00252CD8"/>
    <w:rsid w:val="0025513C"/>
    <w:rsid w:val="00286D8C"/>
    <w:rsid w:val="002910C2"/>
    <w:rsid w:val="002A0E68"/>
    <w:rsid w:val="002A2141"/>
    <w:rsid w:val="002C21BA"/>
    <w:rsid w:val="002F4499"/>
    <w:rsid w:val="00311894"/>
    <w:rsid w:val="00353B6B"/>
    <w:rsid w:val="003615D8"/>
    <w:rsid w:val="00376A72"/>
    <w:rsid w:val="00394897"/>
    <w:rsid w:val="00396302"/>
    <w:rsid w:val="003D6C75"/>
    <w:rsid w:val="003F4A04"/>
    <w:rsid w:val="00420BAB"/>
    <w:rsid w:val="00424807"/>
    <w:rsid w:val="00446625"/>
    <w:rsid w:val="004532B8"/>
    <w:rsid w:val="004607BA"/>
    <w:rsid w:val="004D2ABD"/>
    <w:rsid w:val="004E2138"/>
    <w:rsid w:val="00535E38"/>
    <w:rsid w:val="00567F96"/>
    <w:rsid w:val="005808E4"/>
    <w:rsid w:val="005B5B18"/>
    <w:rsid w:val="00624941"/>
    <w:rsid w:val="00634183"/>
    <w:rsid w:val="00666370"/>
    <w:rsid w:val="00687112"/>
    <w:rsid w:val="006C11CA"/>
    <w:rsid w:val="006F796E"/>
    <w:rsid w:val="007056BB"/>
    <w:rsid w:val="0073091A"/>
    <w:rsid w:val="00753FDB"/>
    <w:rsid w:val="00765DB0"/>
    <w:rsid w:val="00774FE6"/>
    <w:rsid w:val="007A2A66"/>
    <w:rsid w:val="007A4F14"/>
    <w:rsid w:val="007C28F9"/>
    <w:rsid w:val="007C44E6"/>
    <w:rsid w:val="008251F3"/>
    <w:rsid w:val="008274AF"/>
    <w:rsid w:val="0084756D"/>
    <w:rsid w:val="00893D67"/>
    <w:rsid w:val="008E575D"/>
    <w:rsid w:val="0092291D"/>
    <w:rsid w:val="0092487D"/>
    <w:rsid w:val="00925307"/>
    <w:rsid w:val="009368D8"/>
    <w:rsid w:val="00951DD6"/>
    <w:rsid w:val="009536ED"/>
    <w:rsid w:val="00980A99"/>
    <w:rsid w:val="009841F7"/>
    <w:rsid w:val="009B6B3F"/>
    <w:rsid w:val="009C11EE"/>
    <w:rsid w:val="009E1E88"/>
    <w:rsid w:val="00A20CC3"/>
    <w:rsid w:val="00A35ABD"/>
    <w:rsid w:val="00AB1763"/>
    <w:rsid w:val="00AC7790"/>
    <w:rsid w:val="00AF3AB0"/>
    <w:rsid w:val="00B22FFD"/>
    <w:rsid w:val="00B313A4"/>
    <w:rsid w:val="00B35287"/>
    <w:rsid w:val="00B43EE1"/>
    <w:rsid w:val="00B576E0"/>
    <w:rsid w:val="00B64423"/>
    <w:rsid w:val="00BC1345"/>
    <w:rsid w:val="00BD07D7"/>
    <w:rsid w:val="00BD419D"/>
    <w:rsid w:val="00BE7E6A"/>
    <w:rsid w:val="00C022F6"/>
    <w:rsid w:val="00C22BEC"/>
    <w:rsid w:val="00C5140E"/>
    <w:rsid w:val="00C750CE"/>
    <w:rsid w:val="00C874CA"/>
    <w:rsid w:val="00CB5568"/>
    <w:rsid w:val="00CF059E"/>
    <w:rsid w:val="00D05696"/>
    <w:rsid w:val="00D408C9"/>
    <w:rsid w:val="00D62048"/>
    <w:rsid w:val="00D72111"/>
    <w:rsid w:val="00DA15B6"/>
    <w:rsid w:val="00DE7E74"/>
    <w:rsid w:val="00E01E62"/>
    <w:rsid w:val="00E21B4C"/>
    <w:rsid w:val="00E253B7"/>
    <w:rsid w:val="00E37915"/>
    <w:rsid w:val="00E446B1"/>
    <w:rsid w:val="00E51023"/>
    <w:rsid w:val="00EC4A45"/>
    <w:rsid w:val="00EC7B9B"/>
    <w:rsid w:val="00ED6FA2"/>
    <w:rsid w:val="00EE4166"/>
    <w:rsid w:val="00F0450B"/>
    <w:rsid w:val="00F04FA2"/>
    <w:rsid w:val="00F870FB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1B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1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6D3"/>
    <w:rPr>
      <w:vertAlign w:val="superscript"/>
    </w:rPr>
  </w:style>
  <w:style w:type="paragraph" w:customStyle="1" w:styleId="Default">
    <w:name w:val="Default"/>
    <w:rsid w:val="002F44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2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FE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7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1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6D3"/>
    <w:rPr>
      <w:vertAlign w:val="superscript"/>
    </w:rPr>
  </w:style>
  <w:style w:type="paragraph" w:customStyle="1" w:styleId="Default">
    <w:name w:val="Default"/>
    <w:rsid w:val="002F44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2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FE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7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t.inpe.br/prodes/dashboard/prodes-rates.html" TargetMode="External"/><Relationship Id="rId2" Type="http://schemas.openxmlformats.org/officeDocument/2006/relationships/hyperlink" Target="http://www.obt.inpe.br/prodes/dashboard/prodes-rates.html" TargetMode="External"/><Relationship Id="rId3" Type="http://schemas.openxmlformats.org/officeDocument/2006/relationships/hyperlink" Target="http://www.inpe.br/noticias/noticia.php?Cod_Noticia=434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FFCD-EFCD-6A48-8229-7DE71039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6284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Gandur Giovanelli</dc:creator>
  <cp:keywords/>
  <dc:description/>
  <cp:lastModifiedBy>WWF WWF0594</cp:lastModifiedBy>
  <cp:revision>2</cp:revision>
  <dcterms:created xsi:type="dcterms:W3CDTF">2018-10-05T17:25:00Z</dcterms:created>
  <dcterms:modified xsi:type="dcterms:W3CDTF">2018-10-05T17:25:00Z</dcterms:modified>
</cp:coreProperties>
</file>